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53" w:rightChars="-73"/>
        <w:textAlignment w:val="auto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53" w:rightChars="-73" w:firstLine="1320" w:firstLineChars="300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年区人大常委会主任会议重点</w:t>
      </w:r>
    </w:p>
    <w:p>
      <w:pPr>
        <w:spacing w:line="600" w:lineRule="exact"/>
        <w:ind w:right="-153" w:rightChars="-73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督办代表建议</w:t>
      </w:r>
    </w:p>
    <w:bookmarkEnd w:id="0"/>
    <w:tbl>
      <w:tblPr>
        <w:tblStyle w:val="3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95"/>
        <w:gridCol w:w="951"/>
        <w:gridCol w:w="4355"/>
        <w:gridCol w:w="1623"/>
        <w:gridCol w:w="107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案号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提 出代 表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案   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>由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承办单位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督办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陈贵生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关于增加社区工作者查体项目的建议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民政局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郭志寅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社会建设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张云钢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关于进一步贯彻落实《天津市文明行为促进条例》的建议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司法局、公安局、城管委、民政局、市场监管局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郭志寅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社会建设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续光等2人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关于进一步提升滨海欣嘉园区域教育水平的建议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教体局、规划资源局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张长海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教科文卫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179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齐丽娜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关于推动滨海新区公共图书馆馆际合作，实现图书通借通还的建议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文旅局、中心生态城、保税区、经开区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张长海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教科文卫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王存杰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关于加快贯通绕城高速的建议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交运局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左凤伟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城建环保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李文达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关于加强滨海新区塘沽火车站后广场附近出租车管理的建议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公安局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左凤伟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城建环保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28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王德利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关于完善大港街部分排水基础设施的若干建议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大港街、水务局、住建委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左凤伟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城建环保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赵年昆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关于开通小王庄镇、中塘镇等大港西部地区至大港港东新城公交线路的建议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交运局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左凤伟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城建环保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李立斌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加强滨海新区大港中小学校园周边交通管理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28" w:leftChars="0" w:hanging="228" w:hangingChars="100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公安局、城管委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韩  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监察和司法委员会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张春育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关于建立《侵害未成年人权益案件强制报告制度》的建议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28" w:leftChars="0" w:hanging="228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法院、检察院、民政局、教体局、公安局、卫健委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韩  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监察和司法委员会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陈志强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关于推动政府采购线上融资，解决滨海新区民营和中小微供应商融资难题的建议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金融局、财政局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许红球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财政经济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张红云</w:t>
            </w:r>
          </w:p>
        </w:tc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关于建设美丽滨海新区，农村城镇化的建议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zh-CN"/>
              </w:rPr>
              <w:t>城镇办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  <w:t>许红球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财政经济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7DF2"/>
    <w:rsid w:val="744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2020-11-17T08:43:00Z</dcterms:created>
  <dc:creator>Rovine</dc:creator>
  <cp:lastModifiedBy>Rovine</cp:lastModifiedBy>
  <dcterms:modified xsi:type="dcterms:W3CDTF">2020-11-17T08:43:41Z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